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DE" w:rsidRPr="008B2E3C" w:rsidRDefault="000F1B9F" w:rsidP="00DB1C2B">
      <w:pPr>
        <w:jc w:val="center"/>
        <w:rPr>
          <w:rFonts w:ascii="Arial" w:hAnsi="Arial" w:cs="Arial"/>
          <w:b/>
          <w:color w:val="1A1A1A"/>
          <w:sz w:val="28"/>
          <w:szCs w:val="28"/>
          <w:u w:val="single"/>
        </w:rPr>
      </w:pPr>
      <w:r>
        <w:rPr>
          <w:rFonts w:ascii="Arial" w:hAnsi="Arial" w:cs="Arial"/>
          <w:b/>
          <w:color w:val="1A1A1A"/>
          <w:sz w:val="28"/>
          <w:szCs w:val="28"/>
          <w:u w:val="single"/>
        </w:rPr>
        <w:t>Convocatòria de premsa, avui divendres 3 de setembre al</w:t>
      </w:r>
      <w:r w:rsidR="006A30DE" w:rsidRPr="008B2E3C">
        <w:rPr>
          <w:rFonts w:ascii="Arial" w:hAnsi="Arial" w:cs="Arial"/>
          <w:b/>
          <w:color w:val="1A1A1A"/>
          <w:sz w:val="28"/>
          <w:szCs w:val="28"/>
          <w:u w:val="single"/>
        </w:rPr>
        <w:t xml:space="preserve"> migdia</w:t>
      </w:r>
    </w:p>
    <w:p w:rsidR="006A30DE" w:rsidRDefault="006A30DE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6A30DE" w:rsidRDefault="006A30DE" w:rsidP="00DC17F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L’alcalde del Prat valorarà la reunió del Comitè de Coordinació Aeroportuària </w:t>
      </w:r>
    </w:p>
    <w:p w:rsidR="006A30DE" w:rsidRDefault="006A30DE" w:rsidP="00DB1C2B">
      <w:pPr>
        <w:rPr>
          <w:rFonts w:ascii="Arial" w:hAnsi="Arial" w:cs="Arial"/>
          <w:b/>
          <w:color w:val="1A1A1A"/>
          <w:sz w:val="36"/>
          <w:szCs w:val="36"/>
        </w:rPr>
      </w:pPr>
    </w:p>
    <w:p w:rsidR="006A30DE" w:rsidRPr="006A30DE" w:rsidRDefault="006A30DE" w:rsidP="006A30DE">
      <w:pPr>
        <w:jc w:val="both"/>
        <w:rPr>
          <w:rFonts w:ascii="Arial" w:hAnsi="Arial" w:cs="Arial"/>
          <w:color w:val="1A1A1A"/>
        </w:rPr>
      </w:pPr>
      <w:r w:rsidRPr="006A30DE">
        <w:rPr>
          <w:rFonts w:ascii="Arial" w:hAnsi="Arial" w:cs="Arial"/>
          <w:color w:val="1A1A1A"/>
        </w:rPr>
        <w:t>L’alcalde del Prat de Llobregat, Lluís Mijoler, valorarà avui al migdia el resultat de la reunió del Comitè de Coordinació Aeroportuària</w:t>
      </w:r>
      <w:r w:rsidR="000F1B9F">
        <w:rPr>
          <w:rFonts w:ascii="Arial" w:hAnsi="Arial" w:cs="Arial"/>
          <w:color w:val="1A1A1A"/>
        </w:rPr>
        <w:t xml:space="preserve"> </w:t>
      </w:r>
      <w:r w:rsidRPr="006A30DE">
        <w:rPr>
          <w:rFonts w:ascii="Arial" w:hAnsi="Arial" w:cs="Arial"/>
          <w:color w:val="1A1A1A"/>
        </w:rPr>
        <w:t xml:space="preserve">de Catalunya que s’està celebrant aquest matí, una vegada hagi finalitzat. L’hora prevista de la </w:t>
      </w:r>
      <w:proofErr w:type="spellStart"/>
      <w:r w:rsidRPr="006A30DE">
        <w:rPr>
          <w:rFonts w:ascii="Arial" w:hAnsi="Arial" w:cs="Arial"/>
          <w:color w:val="1A1A1A"/>
        </w:rPr>
        <w:t>compareixeça</w:t>
      </w:r>
      <w:proofErr w:type="spellEnd"/>
      <w:r w:rsidRPr="006A30DE">
        <w:rPr>
          <w:rFonts w:ascii="Arial" w:hAnsi="Arial" w:cs="Arial"/>
          <w:color w:val="1A1A1A"/>
        </w:rPr>
        <w:t xml:space="preserve"> de l’alcalde del Prat, que es farà de forma telemàtica, són les 12 h. </w:t>
      </w:r>
    </w:p>
    <w:p w:rsidR="006A30DE" w:rsidRDefault="006A30DE" w:rsidP="006A30DE">
      <w:pPr>
        <w:jc w:val="both"/>
        <w:rPr>
          <w:rFonts w:ascii="Arial" w:hAnsi="Arial" w:cs="Arial"/>
          <w:color w:val="1A1A1A"/>
        </w:rPr>
      </w:pPr>
    </w:p>
    <w:p w:rsidR="000F1B9F" w:rsidRDefault="006A30DE" w:rsidP="006A30D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En la reunió del Comitè de Coordinació Aeroportuària d’avui,</w:t>
      </w:r>
      <w:r w:rsidR="003D188A">
        <w:rPr>
          <w:rFonts w:ascii="Arial" w:hAnsi="Arial" w:cs="Arial"/>
          <w:color w:val="1A1A1A"/>
        </w:rPr>
        <w:t xml:space="preserve"> Aena i el ministeri de Transports estan donant compliment a l’obligació legal de presentar a les autoritats catalanes la concreció</w:t>
      </w:r>
      <w:r>
        <w:rPr>
          <w:rFonts w:ascii="Arial" w:hAnsi="Arial" w:cs="Arial"/>
          <w:color w:val="1A1A1A"/>
        </w:rPr>
        <w:t xml:space="preserve"> </w:t>
      </w:r>
      <w:r w:rsidR="003D188A">
        <w:rPr>
          <w:rFonts w:ascii="Arial" w:hAnsi="Arial" w:cs="Arial"/>
          <w:color w:val="1A1A1A"/>
        </w:rPr>
        <w:t>de</w:t>
      </w:r>
      <w:r>
        <w:rPr>
          <w:rFonts w:ascii="Arial" w:hAnsi="Arial" w:cs="Arial"/>
          <w:color w:val="1A1A1A"/>
        </w:rPr>
        <w:t xml:space="preserve">l </w:t>
      </w:r>
      <w:r w:rsidRPr="006A30DE">
        <w:rPr>
          <w:rFonts w:ascii="Arial" w:hAnsi="Arial" w:cs="Arial"/>
          <w:color w:val="1A1A1A"/>
        </w:rPr>
        <w:t>Document d’Ordenació i</w:t>
      </w:r>
      <w:r>
        <w:rPr>
          <w:rFonts w:ascii="Arial" w:hAnsi="Arial" w:cs="Arial"/>
          <w:color w:val="1A1A1A"/>
        </w:rPr>
        <w:t xml:space="preserve"> Regulació Aeroportuària (DORA) </w:t>
      </w:r>
      <w:r w:rsidR="000F1B9F">
        <w:rPr>
          <w:rFonts w:ascii="Arial" w:hAnsi="Arial" w:cs="Arial"/>
          <w:color w:val="1A1A1A"/>
        </w:rPr>
        <w:t>per al període 2022-2026, que</w:t>
      </w:r>
      <w:r w:rsidR="003D188A">
        <w:rPr>
          <w:rFonts w:ascii="Arial" w:hAnsi="Arial" w:cs="Arial"/>
          <w:color w:val="1A1A1A"/>
        </w:rPr>
        <w:t xml:space="preserve"> detalla i concreta per primer cop</w:t>
      </w:r>
      <w:r w:rsidR="000F1B9F">
        <w:rPr>
          <w:rFonts w:ascii="Arial" w:hAnsi="Arial" w:cs="Arial"/>
          <w:color w:val="1A1A1A"/>
        </w:rPr>
        <w:t xml:space="preserve"> les</w:t>
      </w:r>
      <w:r w:rsidR="003D188A">
        <w:rPr>
          <w:rFonts w:ascii="Arial" w:hAnsi="Arial" w:cs="Arial"/>
          <w:color w:val="1A1A1A"/>
        </w:rPr>
        <w:t xml:space="preserve"> inversions per ampliar</w:t>
      </w:r>
      <w:r w:rsidR="000F1B9F">
        <w:rPr>
          <w:rFonts w:ascii="Arial" w:hAnsi="Arial" w:cs="Arial"/>
          <w:color w:val="1A1A1A"/>
        </w:rPr>
        <w:t xml:space="preserve"> l’aeroport del Prat, segons l’acord a què van arribar el govern estatal i català a principis d’agost. </w:t>
      </w:r>
    </w:p>
    <w:p w:rsidR="000F1B9F" w:rsidRDefault="000F1B9F" w:rsidP="006A30DE">
      <w:pPr>
        <w:jc w:val="both"/>
        <w:rPr>
          <w:rFonts w:ascii="Arial" w:hAnsi="Arial" w:cs="Arial"/>
          <w:color w:val="1A1A1A"/>
        </w:rPr>
      </w:pPr>
    </w:p>
    <w:p w:rsidR="000F1B9F" w:rsidRDefault="000F1B9F" w:rsidP="006A30D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 govern espanyol ha anunciat la seva intenció d’aprovar al Consell de Ministres el DOR</w:t>
      </w:r>
      <w:r w:rsidR="003D188A">
        <w:rPr>
          <w:rFonts w:ascii="Arial" w:hAnsi="Arial" w:cs="Arial"/>
          <w:color w:val="1A1A1A"/>
        </w:rPr>
        <w:t>A abans de finals d’aquest mes. L’Ajuntament del Prat s’oposa a l’ampliació, en considerar-la</w:t>
      </w:r>
      <w:r>
        <w:rPr>
          <w:rFonts w:ascii="Arial" w:hAnsi="Arial" w:cs="Arial"/>
          <w:color w:val="1A1A1A"/>
        </w:rPr>
        <w:t xml:space="preserve"> incompatible amb la preservació de la </w:t>
      </w:r>
      <w:proofErr w:type="spellStart"/>
      <w:r>
        <w:rPr>
          <w:rFonts w:ascii="Arial" w:hAnsi="Arial" w:cs="Arial"/>
          <w:color w:val="1A1A1A"/>
        </w:rPr>
        <w:t>Ricarda</w:t>
      </w:r>
      <w:proofErr w:type="spellEnd"/>
      <w:r>
        <w:rPr>
          <w:rFonts w:ascii="Arial" w:hAnsi="Arial" w:cs="Arial"/>
          <w:color w:val="1A1A1A"/>
        </w:rPr>
        <w:t>, clau per a la conservació de la biodiversitat del conjunt dels espais naturals del delta del Llobregat.</w:t>
      </w:r>
    </w:p>
    <w:p w:rsidR="000F1B9F" w:rsidRDefault="000F1B9F" w:rsidP="006A30DE">
      <w:pPr>
        <w:jc w:val="both"/>
        <w:rPr>
          <w:rFonts w:ascii="Arial" w:hAnsi="Arial" w:cs="Arial"/>
          <w:color w:val="1A1A1A"/>
        </w:rPr>
      </w:pPr>
    </w:p>
    <w:p w:rsidR="006A30DE" w:rsidRDefault="006A30DE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8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6487"/>
      </w:tblGrid>
      <w:tr w:rsidR="00A35B2B" w:rsidTr="009F4AC3">
        <w:tc>
          <w:tcPr>
            <w:tcW w:w="8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6A30DE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9F4AC3">
        <w:trPr>
          <w:trHeight w:val="328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6A30DE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DC17F7" w:rsidP="009F4AC3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Valoració de la reunió del Comitè de Coordinació Aeroportuària</w:t>
            </w:r>
          </w:p>
        </w:tc>
      </w:tr>
      <w:tr w:rsidR="00A35B2B" w:rsidTr="009F4AC3"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6A30DE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DC17F7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Divendres, 3</w:t>
            </w:r>
            <w:r w:rsidR="00A35B2B">
              <w:rPr>
                <w:rFonts w:ascii="Arial" w:hAnsi="Arial" w:cs="Arial"/>
                <w:color w:val="000000"/>
              </w:rPr>
              <w:t xml:space="preserve"> de </w:t>
            </w:r>
            <w:r>
              <w:rPr>
                <w:rFonts w:ascii="Arial" w:hAnsi="Arial" w:cs="Arial"/>
                <w:color w:val="000000"/>
              </w:rPr>
              <w:t xml:space="preserve">setembre </w:t>
            </w:r>
            <w:r w:rsidR="00A35B2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35B2B" w:rsidTr="009F4AC3"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6A30DE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DC17F7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35B2B">
              <w:rPr>
                <w:rFonts w:ascii="Arial" w:hAnsi="Arial" w:cs="Arial"/>
              </w:rPr>
              <w:t xml:space="preserve"> h </w:t>
            </w:r>
          </w:p>
        </w:tc>
      </w:tr>
      <w:tr w:rsidR="00A35B2B" w:rsidTr="009F4AC3"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6A30DE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6A30DE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9F4AC3">
        <w:trPr>
          <w:trHeight w:val="176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DC17F7" w:rsidP="006A30DE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TELEMÀTICA</w:t>
            </w:r>
            <w:r w:rsidR="00A35B2B" w:rsidRPr="00E4427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AC3" w:rsidRPr="009F4AC3" w:rsidRDefault="00DC17F7" w:rsidP="009F4AC3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9F4AC3">
              <w:rPr>
                <w:rFonts w:ascii="Arial" w:hAnsi="Arial" w:cs="Arial"/>
                <w:sz w:val="24"/>
                <w:szCs w:val="24"/>
              </w:rPr>
              <w:t>A través de l’enllaç de Zoom</w:t>
            </w:r>
            <w:r w:rsidR="009F4AC3" w:rsidRPr="009F4AC3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F4AC3" w:rsidRDefault="001B3D4C" w:rsidP="009F4AC3">
            <w:pPr>
              <w:pStyle w:val="Textoindependiente"/>
            </w:pPr>
            <w:hyperlink r:id="rId8" w:history="1">
              <w:r w:rsidR="009F4AC3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https://us02web.zoom.us/j/89864788843?pwd=ZjU3L0tZei9IWXJpVkNGYjBHdFFYZz09</w:t>
              </w:r>
            </w:hyperlink>
          </w:p>
          <w:p w:rsidR="00A35B2B" w:rsidRPr="009F4AC3" w:rsidRDefault="009F4AC3" w:rsidP="009F4AC3">
            <w:pPr>
              <w:pStyle w:val="Textoindependient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4AC3">
              <w:rPr>
                <w:rFonts w:ascii="Arial" w:hAnsi="Arial" w:cs="Arial"/>
                <w:sz w:val="24"/>
                <w:szCs w:val="24"/>
              </w:rPr>
              <w:t>ID: 898 6478 8843 / Codi: 417850</w:t>
            </w:r>
          </w:p>
        </w:tc>
      </w:tr>
      <w:tr w:rsidR="00A35B2B" w:rsidTr="009F4AC3">
        <w:trPr>
          <w:trHeight w:val="176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6A30DE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9F4AC3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  <w:tr w:rsidR="00A35B2B" w:rsidTr="009F4AC3">
        <w:trPr>
          <w:trHeight w:val="6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6A30DE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6A30DE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82" w:rsidRDefault="00AD0F82" w:rsidP="00750EC7">
      <w:r>
        <w:separator/>
      </w:r>
    </w:p>
  </w:endnote>
  <w:endnote w:type="continuationSeparator" w:id="0">
    <w:p w:rsidR="00AD0F82" w:rsidRDefault="00AD0F8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82" w:rsidRDefault="00AD0F82" w:rsidP="00750EC7">
      <w:r>
        <w:separator/>
      </w:r>
    </w:p>
  </w:footnote>
  <w:footnote w:type="continuationSeparator" w:id="0">
    <w:p w:rsidR="00AD0F82" w:rsidRDefault="00AD0F8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9C4" w:rsidRDefault="00FF39C4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39C4" w:rsidRDefault="00FF39C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28D4"/>
    <w:rsid w:val="0009512A"/>
    <w:rsid w:val="000B0003"/>
    <w:rsid w:val="000B751F"/>
    <w:rsid w:val="000C48A9"/>
    <w:rsid w:val="000F0B46"/>
    <w:rsid w:val="000F1B9F"/>
    <w:rsid w:val="001155C0"/>
    <w:rsid w:val="001257BA"/>
    <w:rsid w:val="00126207"/>
    <w:rsid w:val="00130D9A"/>
    <w:rsid w:val="00162F39"/>
    <w:rsid w:val="0016610A"/>
    <w:rsid w:val="0018102B"/>
    <w:rsid w:val="001B3D4C"/>
    <w:rsid w:val="001B692C"/>
    <w:rsid w:val="001F20A9"/>
    <w:rsid w:val="00200C86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D188A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30DE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0801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B2E3C"/>
    <w:rsid w:val="008C122D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4AC3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D0F82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3657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47D17"/>
    <w:rsid w:val="00D56D2D"/>
    <w:rsid w:val="00D57E8C"/>
    <w:rsid w:val="00D67FAD"/>
    <w:rsid w:val="00D8197B"/>
    <w:rsid w:val="00DB1C2B"/>
    <w:rsid w:val="00DC17F7"/>
    <w:rsid w:val="00DE20AA"/>
    <w:rsid w:val="00DE4A16"/>
    <w:rsid w:val="00E12A60"/>
    <w:rsid w:val="00E345DE"/>
    <w:rsid w:val="00E47123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F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List" w:uiPriority="99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Lista">
    <w:name w:val="List"/>
    <w:basedOn w:val="Normal"/>
    <w:uiPriority w:val="99"/>
    <w:unhideWhenUsed/>
    <w:rsid w:val="009F4AC3"/>
    <w:pPr>
      <w:ind w:left="283" w:hanging="283"/>
    </w:pPr>
    <w:rPr>
      <w:rFonts w:ascii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AC3"/>
    <w:p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AC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864788843?pwd=ZjU3L0tZei9IWXJpVkNGYjBHdFFY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0EBC0-3321-4092-AFC3-E7361905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1649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2018-08-02T07:02:00Z</cp:lastPrinted>
  <dcterms:created xsi:type="dcterms:W3CDTF">2021-09-03T07:12:00Z</dcterms:created>
  <dcterms:modified xsi:type="dcterms:W3CDTF">2021-09-03T07:12:00Z</dcterms:modified>
</cp:coreProperties>
</file>