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D1" w:rsidRDefault="001705D1" w:rsidP="00CA10C3">
      <w:pPr>
        <w:rPr>
          <w:rFonts w:ascii="Arial" w:hAnsi="Arial" w:cs="Arial"/>
          <w:b/>
          <w:color w:val="1A1A1A"/>
          <w:sz w:val="36"/>
          <w:szCs w:val="36"/>
        </w:rPr>
      </w:pPr>
    </w:p>
    <w:p w:rsidR="000A2903" w:rsidRDefault="000A2903" w:rsidP="001E3524">
      <w:pPr>
        <w:jc w:val="center"/>
        <w:rPr>
          <w:rFonts w:ascii="Arial" w:hAnsi="Arial" w:cs="Arial"/>
          <w:b/>
          <w:color w:val="1A1A1A"/>
          <w:sz w:val="36"/>
          <w:szCs w:val="36"/>
        </w:rPr>
      </w:pPr>
      <w:r>
        <w:rPr>
          <w:rFonts w:ascii="Arial" w:hAnsi="Arial" w:cs="Arial"/>
          <w:b/>
          <w:color w:val="1A1A1A"/>
          <w:sz w:val="36"/>
          <w:szCs w:val="36"/>
        </w:rPr>
        <w:t xml:space="preserve">L’Ajuntament reclama a la Generalitat </w:t>
      </w:r>
      <w:r w:rsidR="001E3524">
        <w:rPr>
          <w:rFonts w:ascii="Arial" w:hAnsi="Arial" w:cs="Arial"/>
          <w:b/>
          <w:color w:val="1A1A1A"/>
          <w:sz w:val="36"/>
          <w:szCs w:val="36"/>
        </w:rPr>
        <w:t>el deute amb el finançament de</w:t>
      </w:r>
      <w:r>
        <w:rPr>
          <w:rFonts w:ascii="Arial" w:hAnsi="Arial" w:cs="Arial"/>
          <w:b/>
          <w:color w:val="1A1A1A"/>
          <w:sz w:val="36"/>
          <w:szCs w:val="36"/>
        </w:rPr>
        <w:t xml:space="preserve"> les escoles bressol, compli</w:t>
      </w:r>
      <w:r w:rsidR="00CA10C3">
        <w:rPr>
          <w:rFonts w:ascii="Arial" w:hAnsi="Arial" w:cs="Arial"/>
          <w:b/>
          <w:color w:val="1A1A1A"/>
          <w:sz w:val="36"/>
          <w:szCs w:val="36"/>
        </w:rPr>
        <w:t>nt la sentència refermada pel T</w:t>
      </w:r>
      <w:r>
        <w:rPr>
          <w:rFonts w:ascii="Arial" w:hAnsi="Arial" w:cs="Arial"/>
          <w:b/>
          <w:color w:val="1A1A1A"/>
          <w:sz w:val="36"/>
          <w:szCs w:val="36"/>
        </w:rPr>
        <w:t>S</w:t>
      </w:r>
      <w:r w:rsidR="00CA10C3">
        <w:rPr>
          <w:rFonts w:ascii="Arial" w:hAnsi="Arial" w:cs="Arial"/>
          <w:b/>
          <w:color w:val="1A1A1A"/>
          <w:sz w:val="36"/>
          <w:szCs w:val="36"/>
        </w:rPr>
        <w:t>J</w:t>
      </w:r>
      <w:r>
        <w:rPr>
          <w:rFonts w:ascii="Arial" w:hAnsi="Arial" w:cs="Arial"/>
          <w:b/>
          <w:color w:val="1A1A1A"/>
          <w:sz w:val="36"/>
          <w:szCs w:val="36"/>
        </w:rPr>
        <w:t>C</w:t>
      </w:r>
    </w:p>
    <w:p w:rsidR="000A2903" w:rsidRPr="000A2903" w:rsidRDefault="000A2903" w:rsidP="00EF5E44">
      <w:pPr>
        <w:jc w:val="both"/>
        <w:rPr>
          <w:rFonts w:ascii="Arial" w:hAnsi="Arial" w:cs="Arial"/>
          <w:b/>
          <w:color w:val="1A1A1A"/>
          <w:sz w:val="36"/>
          <w:szCs w:val="36"/>
        </w:rPr>
      </w:pPr>
    </w:p>
    <w:p w:rsidR="000A2903" w:rsidRDefault="000A2903" w:rsidP="00EF5E44">
      <w:pPr>
        <w:jc w:val="both"/>
        <w:rPr>
          <w:rFonts w:ascii="Arial" w:hAnsi="Arial" w:cs="Arial"/>
          <w:b/>
        </w:rPr>
      </w:pPr>
      <w:r w:rsidRPr="000A2903">
        <w:rPr>
          <w:rFonts w:ascii="Arial" w:hAnsi="Arial" w:cs="Arial"/>
          <w:b/>
        </w:rPr>
        <w:t>El Tribunal Superior de Justícia de Catalunya (TSJC) ha declarat ferma la sentència per la qual obliga la Generalitat a retornar a una trentena d’ajuntaments, entre ells el del Prat, l’import que els deu en concepte de subvencions per a les escoles bressol</w:t>
      </w:r>
      <w:r>
        <w:rPr>
          <w:rFonts w:ascii="Arial" w:hAnsi="Arial" w:cs="Arial"/>
          <w:b/>
        </w:rPr>
        <w:t xml:space="preserve">. </w:t>
      </w:r>
    </w:p>
    <w:p w:rsidR="000A2903" w:rsidRDefault="000A2903" w:rsidP="00EF5E44">
      <w:pPr>
        <w:jc w:val="both"/>
        <w:rPr>
          <w:rFonts w:ascii="Arial" w:hAnsi="Arial" w:cs="Arial"/>
          <w:b/>
        </w:rPr>
      </w:pPr>
    </w:p>
    <w:p w:rsidR="000A2903" w:rsidRDefault="000A2903" w:rsidP="00EF5E44">
      <w:pPr>
        <w:jc w:val="both"/>
        <w:rPr>
          <w:rFonts w:ascii="Arial" w:hAnsi="Arial" w:cs="Arial"/>
          <w:b/>
        </w:rPr>
      </w:pPr>
      <w:r>
        <w:rPr>
          <w:rFonts w:ascii="Arial" w:hAnsi="Arial" w:cs="Arial"/>
          <w:b/>
        </w:rPr>
        <w:t>En el cas de l’Ajuntament del Prat, l</w:t>
      </w:r>
      <w:r w:rsidR="00D1745C">
        <w:rPr>
          <w:rFonts w:ascii="Arial" w:hAnsi="Arial" w:cs="Arial"/>
          <w:b/>
        </w:rPr>
        <w:t xml:space="preserve">a Generalitat li ha de retornar </w:t>
      </w:r>
      <w:r w:rsidR="00D1745C" w:rsidRPr="00D1745C">
        <w:rPr>
          <w:rFonts w:ascii="Arial" w:hAnsi="Arial" w:cs="Arial"/>
          <w:b/>
        </w:rPr>
        <w:t>2.712.200</w:t>
      </w:r>
      <w:r w:rsidR="00D1745C">
        <w:t xml:space="preserve"> </w:t>
      </w:r>
      <w:r w:rsidR="001E3524">
        <w:rPr>
          <w:rFonts w:ascii="Arial" w:hAnsi="Arial" w:cs="Arial"/>
          <w:b/>
        </w:rPr>
        <w:t xml:space="preserve"> euros per al fin</w:t>
      </w:r>
      <w:r>
        <w:rPr>
          <w:rFonts w:ascii="Arial" w:hAnsi="Arial" w:cs="Arial"/>
          <w:b/>
        </w:rPr>
        <w:t>a</w:t>
      </w:r>
      <w:r w:rsidR="001E3524">
        <w:rPr>
          <w:rFonts w:ascii="Arial" w:hAnsi="Arial" w:cs="Arial"/>
          <w:b/>
        </w:rPr>
        <w:t>nça</w:t>
      </w:r>
      <w:r>
        <w:rPr>
          <w:rFonts w:ascii="Arial" w:hAnsi="Arial" w:cs="Arial"/>
          <w:b/>
        </w:rPr>
        <w:t xml:space="preserve">ment de les escoles bressol municipals. </w:t>
      </w:r>
    </w:p>
    <w:p w:rsidR="00D1745C" w:rsidRDefault="00D1745C" w:rsidP="00EF5E44">
      <w:pPr>
        <w:jc w:val="both"/>
        <w:rPr>
          <w:rFonts w:ascii="Arial" w:hAnsi="Arial" w:cs="Arial"/>
          <w:b/>
        </w:rPr>
      </w:pPr>
    </w:p>
    <w:p w:rsidR="00D1745C" w:rsidRDefault="00D1745C" w:rsidP="00D1745C"/>
    <w:p w:rsidR="00D1745C" w:rsidRDefault="00EF5E44" w:rsidP="00EF5E44">
      <w:pPr>
        <w:jc w:val="both"/>
        <w:rPr>
          <w:rFonts w:ascii="Arial" w:hAnsi="Arial" w:cs="Arial"/>
        </w:rPr>
      </w:pPr>
      <w:r w:rsidRPr="00EF5E44">
        <w:rPr>
          <w:rFonts w:ascii="Arial" w:hAnsi="Arial" w:cs="Arial"/>
        </w:rPr>
        <w:t xml:space="preserve">El Tribunal Superior de Justícia de Catalunya (TSJC) ha declarat ferma la sentència per la qual obliga el Departament d’Educació de la Generalitat a retornar a una </w:t>
      </w:r>
      <w:r w:rsidRPr="00D1745C">
        <w:rPr>
          <w:rFonts w:ascii="Arial" w:hAnsi="Arial" w:cs="Arial"/>
        </w:rPr>
        <w:t>trentena d’ajuntaments, entre</w:t>
      </w:r>
      <w:r w:rsidRPr="00EF5E44">
        <w:rPr>
          <w:rFonts w:ascii="Arial" w:hAnsi="Arial" w:cs="Arial"/>
        </w:rPr>
        <w:t xml:space="preserve"> ells el del Prat de Llobregat, l’import que els deu en concepte de subvencions per a les escoles bressol. </w:t>
      </w:r>
    </w:p>
    <w:p w:rsidR="001E3524" w:rsidRDefault="001E3524" w:rsidP="00EF5E44">
      <w:pPr>
        <w:jc w:val="both"/>
        <w:rPr>
          <w:rFonts w:ascii="Arial" w:hAnsi="Arial" w:cs="Arial"/>
        </w:rPr>
      </w:pPr>
    </w:p>
    <w:p w:rsidR="001E3524" w:rsidRDefault="00D1745C" w:rsidP="00B326A9">
      <w:pPr>
        <w:jc w:val="both"/>
        <w:rPr>
          <w:rFonts w:ascii="Arial" w:hAnsi="Arial" w:cs="Arial"/>
          <w:color w:val="1A1A1A"/>
        </w:rPr>
      </w:pPr>
      <w:r>
        <w:rPr>
          <w:rFonts w:ascii="Arial" w:hAnsi="Arial" w:cs="Arial"/>
        </w:rPr>
        <w:t xml:space="preserve">Concretament amb l’Ajuntament del Prat, la Generalitat ha acumulat un deute de </w:t>
      </w:r>
      <w:r w:rsidRPr="00D1745C">
        <w:rPr>
          <w:rFonts w:ascii="Arial" w:hAnsi="Arial" w:cs="Arial"/>
          <w:color w:val="1A1A1A"/>
        </w:rPr>
        <w:t xml:space="preserve">2.712.200  </w:t>
      </w:r>
      <w:r w:rsidR="000A2903" w:rsidRPr="00D1745C">
        <w:rPr>
          <w:rFonts w:ascii="Arial" w:hAnsi="Arial" w:cs="Arial"/>
          <w:color w:val="1A1A1A"/>
        </w:rPr>
        <w:t>euros</w:t>
      </w:r>
      <w:r>
        <w:rPr>
          <w:rFonts w:ascii="Arial" w:hAnsi="Arial" w:cs="Arial"/>
          <w:color w:val="1A1A1A"/>
        </w:rPr>
        <w:t xml:space="preserve"> durant els cursos 2015-2016, 2016-2017 i 2018-2019. </w:t>
      </w:r>
      <w:r w:rsidR="00CA10C3">
        <w:rPr>
          <w:rFonts w:ascii="Arial" w:hAnsi="Arial" w:cs="Arial"/>
          <w:color w:val="1A1A1A"/>
        </w:rPr>
        <w:t xml:space="preserve">Durant aquests </w:t>
      </w:r>
      <w:r w:rsidR="001E3524">
        <w:rPr>
          <w:rFonts w:ascii="Arial" w:hAnsi="Arial" w:cs="Arial"/>
          <w:color w:val="1A1A1A"/>
        </w:rPr>
        <w:t>cursos, e</w:t>
      </w:r>
      <w:r>
        <w:rPr>
          <w:rFonts w:ascii="Arial" w:hAnsi="Arial" w:cs="Arial"/>
          <w:color w:val="1A1A1A"/>
        </w:rPr>
        <w:t xml:space="preserve">l deute </w:t>
      </w:r>
      <w:r w:rsidR="001E3524">
        <w:rPr>
          <w:rFonts w:ascii="Arial" w:hAnsi="Arial" w:cs="Arial"/>
          <w:color w:val="1A1A1A"/>
        </w:rPr>
        <w:t>de la Generalitat amb l’Ajuntament ha oscil·lat</w:t>
      </w:r>
      <w:r>
        <w:rPr>
          <w:rFonts w:ascii="Arial" w:hAnsi="Arial" w:cs="Arial"/>
          <w:color w:val="1A1A1A"/>
        </w:rPr>
        <w:t xml:space="preserve"> entre</w:t>
      </w:r>
      <w:r w:rsidR="001E3524">
        <w:rPr>
          <w:rFonts w:ascii="Arial" w:hAnsi="Arial" w:cs="Arial"/>
          <w:color w:val="1A1A1A"/>
        </w:rPr>
        <w:t xml:space="preserve"> els</w:t>
      </w:r>
      <w:r>
        <w:rPr>
          <w:rFonts w:ascii="Arial" w:hAnsi="Arial" w:cs="Arial"/>
          <w:color w:val="1A1A1A"/>
        </w:rPr>
        <w:t xml:space="preserve"> 1.300 i </w:t>
      </w:r>
      <w:r w:rsidR="001E3524">
        <w:rPr>
          <w:rFonts w:ascii="Arial" w:hAnsi="Arial" w:cs="Arial"/>
          <w:color w:val="1A1A1A"/>
        </w:rPr>
        <w:t xml:space="preserve">els </w:t>
      </w:r>
      <w:r w:rsidR="00CA10C3">
        <w:rPr>
          <w:rFonts w:ascii="Arial" w:hAnsi="Arial" w:cs="Arial"/>
          <w:color w:val="1A1A1A"/>
        </w:rPr>
        <w:t xml:space="preserve">1.600 euros </w:t>
      </w:r>
      <w:r w:rsidR="001E3524">
        <w:rPr>
          <w:rFonts w:ascii="Arial" w:hAnsi="Arial" w:cs="Arial"/>
          <w:color w:val="1A1A1A"/>
        </w:rPr>
        <w:t xml:space="preserve">per alumne i any. Aquest curs, hi ha 490 alumnes matriculats a les cinc escoles bressol municipals del Prat (Dumbo, El Cabusset, La Blaveta, La Granota i Sol Solet). </w:t>
      </w:r>
    </w:p>
    <w:p w:rsidR="001E3524" w:rsidRDefault="001E3524" w:rsidP="00B326A9">
      <w:pPr>
        <w:jc w:val="both"/>
        <w:rPr>
          <w:rFonts w:ascii="Arial" w:hAnsi="Arial" w:cs="Arial"/>
          <w:color w:val="1A1A1A"/>
        </w:rPr>
      </w:pPr>
    </w:p>
    <w:p w:rsidR="00D1745C" w:rsidRPr="00D1745C" w:rsidRDefault="00D1745C" w:rsidP="00B326A9">
      <w:pPr>
        <w:jc w:val="both"/>
        <w:rPr>
          <w:rFonts w:ascii="Arial" w:hAnsi="Arial" w:cs="Arial"/>
        </w:rPr>
      </w:pPr>
      <w:r>
        <w:rPr>
          <w:rFonts w:ascii="Arial" w:hAnsi="Arial" w:cs="Arial"/>
          <w:color w:val="1A1A1A"/>
        </w:rPr>
        <w:t xml:space="preserve">Ara l’Ajuntament li reclama a la Generalitat que sufragi aquest deute amb la màxima celeritat i que, </w:t>
      </w:r>
      <w:r w:rsidR="00B37962">
        <w:rPr>
          <w:rFonts w:ascii="Arial" w:hAnsi="Arial" w:cs="Arial"/>
          <w:color w:val="1A1A1A"/>
        </w:rPr>
        <w:t xml:space="preserve">de cara al curs vinent, normalitzi els compromisos que li corresponen per garantir la sostenibilitat financera de les escoles bressol municipals. </w:t>
      </w:r>
    </w:p>
    <w:p w:rsidR="00B37962" w:rsidRDefault="00B37962" w:rsidP="00EF5E44">
      <w:pPr>
        <w:jc w:val="both"/>
        <w:rPr>
          <w:rFonts w:ascii="Arial" w:hAnsi="Arial" w:cs="Arial"/>
        </w:rPr>
      </w:pPr>
    </w:p>
    <w:p w:rsidR="00B37962" w:rsidRDefault="00B37962" w:rsidP="00EF5E44">
      <w:pPr>
        <w:jc w:val="both"/>
        <w:rPr>
          <w:rFonts w:ascii="Arial" w:hAnsi="Arial" w:cs="Arial"/>
          <w:b/>
        </w:rPr>
      </w:pPr>
      <w:r>
        <w:rPr>
          <w:rFonts w:ascii="Arial" w:hAnsi="Arial" w:cs="Arial"/>
          <w:b/>
        </w:rPr>
        <w:t xml:space="preserve">Una retallada </w:t>
      </w:r>
      <w:r w:rsidRPr="00B37962">
        <w:rPr>
          <w:rFonts w:ascii="Arial" w:hAnsi="Arial" w:cs="Arial"/>
          <w:b/>
        </w:rPr>
        <w:t>que es remunta a l’</w:t>
      </w:r>
      <w:r>
        <w:rPr>
          <w:rFonts w:ascii="Arial" w:hAnsi="Arial" w:cs="Arial"/>
          <w:b/>
        </w:rPr>
        <w:t xml:space="preserve">any 2012 i que des d’aleshores no s’ha revertit </w:t>
      </w:r>
    </w:p>
    <w:p w:rsidR="00B37962" w:rsidRPr="00B37962" w:rsidRDefault="00B37962" w:rsidP="00EF5E44">
      <w:pPr>
        <w:jc w:val="both"/>
        <w:rPr>
          <w:rFonts w:ascii="Arial" w:hAnsi="Arial" w:cs="Arial"/>
          <w:b/>
        </w:rPr>
      </w:pPr>
    </w:p>
    <w:p w:rsidR="009E4B28" w:rsidRDefault="00EF5E44" w:rsidP="00EF5E44">
      <w:pPr>
        <w:jc w:val="both"/>
        <w:rPr>
          <w:rFonts w:ascii="Arial" w:hAnsi="Arial" w:cs="Arial"/>
        </w:rPr>
      </w:pPr>
      <w:r>
        <w:rPr>
          <w:rFonts w:ascii="Arial" w:hAnsi="Arial" w:cs="Arial"/>
        </w:rPr>
        <w:t xml:space="preserve">L’origen del conflicte </w:t>
      </w:r>
      <w:r w:rsidR="009E4B28">
        <w:rPr>
          <w:rFonts w:ascii="Arial" w:hAnsi="Arial" w:cs="Arial"/>
        </w:rPr>
        <w:t xml:space="preserve">pel finançament de les escoles bressol </w:t>
      </w:r>
      <w:r w:rsidR="008128BA">
        <w:rPr>
          <w:rFonts w:ascii="Arial" w:hAnsi="Arial" w:cs="Arial"/>
        </w:rPr>
        <w:t>es remunta a l’any 2012</w:t>
      </w:r>
      <w:r w:rsidR="009E4B28">
        <w:rPr>
          <w:rFonts w:ascii="Arial" w:hAnsi="Arial" w:cs="Arial"/>
        </w:rPr>
        <w:t xml:space="preserve">. En plena crisi econòmica, el govern de la Generalitat, aleshores presidit per Artur Mas (CiU), va reduir l’aportació del govern català per a les escoles bressol, una reducció que no s’ha pogut revertir d’aleshores ençà. Front a aquesta retallada, una trentena de municipis van </w:t>
      </w:r>
      <w:r w:rsidR="00727CB6">
        <w:rPr>
          <w:rFonts w:ascii="Arial" w:hAnsi="Arial" w:cs="Arial"/>
        </w:rPr>
        <w:t xml:space="preserve">iniciar l’any 2014, en el marc del Fòrum d’Alcaldes i Alcaldesses per a l’Educació de Catalunya, el procés per reclamar a la </w:t>
      </w:r>
      <w:r w:rsidR="001E3524">
        <w:rPr>
          <w:rFonts w:ascii="Arial" w:hAnsi="Arial" w:cs="Arial"/>
        </w:rPr>
        <w:t xml:space="preserve">Generalitat </w:t>
      </w:r>
      <w:r w:rsidR="009E4B28">
        <w:rPr>
          <w:rFonts w:ascii="Arial" w:hAnsi="Arial" w:cs="Arial"/>
        </w:rPr>
        <w:t>els imports que havien deixat de rebre en concepte de sub</w:t>
      </w:r>
      <w:r w:rsidR="00CA10C3">
        <w:rPr>
          <w:rFonts w:ascii="Arial" w:hAnsi="Arial" w:cs="Arial"/>
        </w:rPr>
        <w:t xml:space="preserve">vencions per a escoles bressol. </w:t>
      </w:r>
      <w:r w:rsidR="001E3524">
        <w:rPr>
          <w:rFonts w:ascii="Arial" w:hAnsi="Arial" w:cs="Arial"/>
        </w:rPr>
        <w:t xml:space="preserve"> </w:t>
      </w:r>
    </w:p>
    <w:p w:rsidR="001E3524" w:rsidRDefault="001E3524" w:rsidP="00EF5E44">
      <w:pPr>
        <w:jc w:val="both"/>
        <w:rPr>
          <w:rFonts w:ascii="Arial" w:hAnsi="Arial" w:cs="Arial"/>
        </w:rPr>
      </w:pPr>
    </w:p>
    <w:p w:rsidR="00B37962" w:rsidRDefault="009E4B28" w:rsidP="00EF5E44">
      <w:pPr>
        <w:jc w:val="both"/>
        <w:rPr>
          <w:rFonts w:ascii="Arial" w:hAnsi="Arial" w:cs="Arial"/>
        </w:rPr>
      </w:pPr>
      <w:r>
        <w:rPr>
          <w:rFonts w:ascii="Arial" w:hAnsi="Arial" w:cs="Arial"/>
        </w:rPr>
        <w:lastRenderedPageBreak/>
        <w:t>El TJSC ja els va donar la raó mitjançant la seva sentència anterior, de 20 de desembre de 2017,</w:t>
      </w:r>
      <w:r w:rsidR="00D1745C">
        <w:rPr>
          <w:rFonts w:ascii="Arial" w:hAnsi="Arial" w:cs="Arial"/>
        </w:rPr>
        <w:t xml:space="preserve"> una sentència que es podia recórrer, però que ara s’ha vist refermada, </w:t>
      </w:r>
      <w:r>
        <w:rPr>
          <w:rFonts w:ascii="Arial" w:hAnsi="Arial" w:cs="Arial"/>
        </w:rPr>
        <w:t>mitjançant la interlocutòria del Tribunal Superior de Justícia de Catalunya de 20 de maig</w:t>
      </w:r>
      <w:r w:rsidR="001E3524">
        <w:rPr>
          <w:rFonts w:ascii="Arial" w:hAnsi="Arial" w:cs="Arial"/>
        </w:rPr>
        <w:t xml:space="preserve"> de 2020. </w:t>
      </w:r>
    </w:p>
    <w:p w:rsidR="00D1745C" w:rsidRPr="00B37962" w:rsidRDefault="00D1745C" w:rsidP="00EF5E44">
      <w:pPr>
        <w:jc w:val="both"/>
        <w:rPr>
          <w:rFonts w:ascii="Arial" w:hAnsi="Arial" w:cs="Arial"/>
          <w:b/>
        </w:rPr>
      </w:pPr>
    </w:p>
    <w:p w:rsidR="00B37962" w:rsidRDefault="00B37962" w:rsidP="00EF5E44">
      <w:pPr>
        <w:jc w:val="both"/>
        <w:rPr>
          <w:rFonts w:ascii="Arial" w:hAnsi="Arial" w:cs="Arial"/>
        </w:rPr>
      </w:pPr>
      <w:r w:rsidRPr="00B37962">
        <w:rPr>
          <w:rFonts w:ascii="Arial" w:hAnsi="Arial" w:cs="Arial"/>
          <w:b/>
        </w:rPr>
        <w:t>La llei marca que la Generalitat ha de garantir el finançament de les competències delegades als ajuntaments, com són les de les escoles bressol</w:t>
      </w:r>
      <w:r>
        <w:rPr>
          <w:rFonts w:ascii="Arial" w:hAnsi="Arial" w:cs="Arial"/>
        </w:rPr>
        <w:t xml:space="preserve"> </w:t>
      </w:r>
    </w:p>
    <w:p w:rsidR="009E4B28" w:rsidRDefault="009E4B28" w:rsidP="00EF5E44">
      <w:pPr>
        <w:jc w:val="both"/>
        <w:rPr>
          <w:rFonts w:ascii="Arial" w:hAnsi="Arial" w:cs="Arial"/>
        </w:rPr>
      </w:pPr>
    </w:p>
    <w:p w:rsidR="009E4B28" w:rsidRDefault="009E4B28" w:rsidP="00EF5E44">
      <w:pPr>
        <w:jc w:val="both"/>
        <w:rPr>
          <w:rFonts w:ascii="Arial" w:hAnsi="Arial" w:cs="Arial"/>
        </w:rPr>
      </w:pPr>
      <w:r>
        <w:rPr>
          <w:rFonts w:ascii="Arial" w:hAnsi="Arial" w:cs="Arial"/>
        </w:rPr>
        <w:t>Segons la sentència ara refermada, el fet que la titularitat de la competència de les escoles bressol recaigui en els</w:t>
      </w:r>
      <w:r w:rsidR="008128BA">
        <w:rPr>
          <w:rFonts w:ascii="Arial" w:hAnsi="Arial" w:cs="Arial"/>
        </w:rPr>
        <w:t xml:space="preserve"> ens</w:t>
      </w:r>
      <w:r>
        <w:rPr>
          <w:rFonts w:ascii="Arial" w:hAnsi="Arial" w:cs="Arial"/>
        </w:rPr>
        <w:t xml:space="preserve"> locals no significa que les administracions superiors, en aquest concret la Generalitat, quedin exemptes de les seves responsabilitats de fina</w:t>
      </w:r>
      <w:r w:rsidR="008128BA">
        <w:rPr>
          <w:rFonts w:ascii="Arial" w:hAnsi="Arial" w:cs="Arial"/>
        </w:rPr>
        <w:t>nçament. En aquest sentit, el T</w:t>
      </w:r>
      <w:r>
        <w:rPr>
          <w:rFonts w:ascii="Arial" w:hAnsi="Arial" w:cs="Arial"/>
        </w:rPr>
        <w:t>S</w:t>
      </w:r>
      <w:r w:rsidR="008128BA">
        <w:rPr>
          <w:rFonts w:ascii="Arial" w:hAnsi="Arial" w:cs="Arial"/>
        </w:rPr>
        <w:t>J</w:t>
      </w:r>
      <w:r>
        <w:rPr>
          <w:rFonts w:ascii="Arial" w:hAnsi="Arial" w:cs="Arial"/>
        </w:rPr>
        <w:t xml:space="preserve">C recorda que la legislació estableix que és la Generalitat qui ha de garantir el finançament de l’educació 0-3, malgrat que es tracti de centres de titularitat municipal. </w:t>
      </w:r>
    </w:p>
    <w:p w:rsidR="001705D1" w:rsidRDefault="001705D1" w:rsidP="00EF5E44">
      <w:pPr>
        <w:jc w:val="both"/>
        <w:rPr>
          <w:rFonts w:ascii="Arial" w:hAnsi="Arial" w:cs="Arial"/>
        </w:rPr>
      </w:pPr>
    </w:p>
    <w:p w:rsidR="001705D1" w:rsidRDefault="001705D1" w:rsidP="001705D1">
      <w:pPr>
        <w:jc w:val="both"/>
        <w:rPr>
          <w:rFonts w:ascii="Arial" w:hAnsi="Arial" w:cs="Arial"/>
        </w:rPr>
      </w:pPr>
      <w:r>
        <w:rPr>
          <w:rFonts w:ascii="Arial" w:hAnsi="Arial" w:cs="Arial"/>
        </w:rPr>
        <w:t xml:space="preserve">En termes generals, normatives com </w:t>
      </w:r>
      <w:r w:rsidR="009E4B28">
        <w:rPr>
          <w:rFonts w:ascii="Arial" w:hAnsi="Arial" w:cs="Arial"/>
        </w:rPr>
        <w:t xml:space="preserve">la Llei de Bases de Règim Local </w:t>
      </w:r>
      <w:r>
        <w:rPr>
          <w:rFonts w:ascii="Arial" w:hAnsi="Arial" w:cs="Arial"/>
        </w:rPr>
        <w:t xml:space="preserve">o </w:t>
      </w:r>
      <w:r w:rsidR="009E4B28">
        <w:rPr>
          <w:rFonts w:ascii="Arial" w:hAnsi="Arial" w:cs="Arial"/>
        </w:rPr>
        <w:t xml:space="preserve">l’Estatut d’Autonomia de Catalunya </w:t>
      </w:r>
      <w:r>
        <w:rPr>
          <w:rFonts w:ascii="Arial" w:hAnsi="Arial" w:cs="Arial"/>
        </w:rPr>
        <w:t>estableixen que aquella administració que delega una competència en els ajuntaments (en aquest la Generalitat) ha de garantir els recursos corresponents per prestar el servei (en aquest cas el de les escoles bressol), tal</w:t>
      </w:r>
      <w:r w:rsidR="008128BA">
        <w:rPr>
          <w:rFonts w:ascii="Arial" w:hAnsi="Arial" w:cs="Arial"/>
        </w:rPr>
        <w:t xml:space="preserve"> com recorda la sentència del T</w:t>
      </w:r>
      <w:r>
        <w:rPr>
          <w:rFonts w:ascii="Arial" w:hAnsi="Arial" w:cs="Arial"/>
        </w:rPr>
        <w:t>S</w:t>
      </w:r>
      <w:r w:rsidR="008128BA">
        <w:rPr>
          <w:rFonts w:ascii="Arial" w:hAnsi="Arial" w:cs="Arial"/>
        </w:rPr>
        <w:t>J</w:t>
      </w:r>
      <w:r>
        <w:rPr>
          <w:rFonts w:ascii="Arial" w:hAnsi="Arial" w:cs="Arial"/>
        </w:rPr>
        <w:t xml:space="preserve">C.  </w:t>
      </w:r>
    </w:p>
    <w:p w:rsidR="001705D1" w:rsidRDefault="001705D1" w:rsidP="001705D1">
      <w:pPr>
        <w:jc w:val="both"/>
        <w:rPr>
          <w:rFonts w:ascii="Arial" w:hAnsi="Arial" w:cs="Arial"/>
        </w:rPr>
      </w:pPr>
    </w:p>
    <w:p w:rsidR="00B326A9" w:rsidRDefault="00B326A9" w:rsidP="001705D1">
      <w:pPr>
        <w:jc w:val="both"/>
        <w:rPr>
          <w:rFonts w:ascii="Arial" w:hAnsi="Arial" w:cs="Arial"/>
        </w:rPr>
      </w:pPr>
    </w:p>
    <w:p w:rsidR="002B3155" w:rsidRPr="00B326A9" w:rsidRDefault="00B326A9" w:rsidP="00931F4F">
      <w:pPr>
        <w:autoSpaceDE w:val="0"/>
        <w:autoSpaceDN w:val="0"/>
        <w:adjustRightInd w:val="0"/>
        <w:jc w:val="both"/>
        <w:rPr>
          <w:rFonts w:ascii="Arial" w:hAnsi="Arial" w:cs="Arial"/>
          <w:b/>
          <w:color w:val="1A1A1A"/>
          <w:u w:val="single"/>
        </w:rPr>
      </w:pPr>
      <w:r w:rsidRPr="00B326A9">
        <w:rPr>
          <w:rFonts w:ascii="Arial" w:hAnsi="Arial" w:cs="Arial"/>
          <w:b/>
        </w:rPr>
        <w:t>El Prat de Llobregat, 22 de maig de 2020</w:t>
      </w:r>
    </w:p>
    <w:sectPr w:rsidR="002B3155" w:rsidRPr="00B326A9"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524" w:rsidRDefault="001E3524" w:rsidP="00750EC7">
      <w:r>
        <w:separator/>
      </w:r>
    </w:p>
  </w:endnote>
  <w:endnote w:type="continuationSeparator" w:id="0">
    <w:p w:rsidR="001E3524" w:rsidRDefault="001E3524" w:rsidP="00750EC7">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524" w:rsidRDefault="001E3524" w:rsidP="00750EC7">
      <w:r>
        <w:separator/>
      </w:r>
    </w:p>
  </w:footnote>
  <w:footnote w:type="continuationSeparator" w:id="0">
    <w:p w:rsidR="001E3524" w:rsidRDefault="001E3524"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24" w:rsidRDefault="001E3524">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1E3524" w:rsidRDefault="001E352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799E7A0D"/>
    <w:multiLevelType w:val="hybridMultilevel"/>
    <w:tmpl w:val="CC822552"/>
    <w:lvl w:ilvl="0" w:tplc="B5B092A8">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733F4"/>
    <w:rsid w:val="0009512A"/>
    <w:rsid w:val="000A2903"/>
    <w:rsid w:val="000B0003"/>
    <w:rsid w:val="000B751F"/>
    <w:rsid w:val="000C48A9"/>
    <w:rsid w:val="000F0B46"/>
    <w:rsid w:val="001155C0"/>
    <w:rsid w:val="001257BA"/>
    <w:rsid w:val="00126207"/>
    <w:rsid w:val="00130D9A"/>
    <w:rsid w:val="00162F39"/>
    <w:rsid w:val="0016610A"/>
    <w:rsid w:val="001705D1"/>
    <w:rsid w:val="0018102B"/>
    <w:rsid w:val="001B692C"/>
    <w:rsid w:val="001E3524"/>
    <w:rsid w:val="001F20A9"/>
    <w:rsid w:val="00203C08"/>
    <w:rsid w:val="0022495B"/>
    <w:rsid w:val="00252D3A"/>
    <w:rsid w:val="00256436"/>
    <w:rsid w:val="00263995"/>
    <w:rsid w:val="00266F72"/>
    <w:rsid w:val="00297EB5"/>
    <w:rsid w:val="002A6005"/>
    <w:rsid w:val="002B315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40B2D"/>
    <w:rsid w:val="00562D3D"/>
    <w:rsid w:val="005800B0"/>
    <w:rsid w:val="00580472"/>
    <w:rsid w:val="005A2FB3"/>
    <w:rsid w:val="005E38B5"/>
    <w:rsid w:val="005F37D6"/>
    <w:rsid w:val="00641EA7"/>
    <w:rsid w:val="00650607"/>
    <w:rsid w:val="00671C53"/>
    <w:rsid w:val="006848F3"/>
    <w:rsid w:val="00696845"/>
    <w:rsid w:val="006A55D8"/>
    <w:rsid w:val="006D0502"/>
    <w:rsid w:val="006D2732"/>
    <w:rsid w:val="006E4EA9"/>
    <w:rsid w:val="006E75E0"/>
    <w:rsid w:val="006F6D24"/>
    <w:rsid w:val="006F7800"/>
    <w:rsid w:val="007124C1"/>
    <w:rsid w:val="00722F1F"/>
    <w:rsid w:val="00727CB6"/>
    <w:rsid w:val="00744028"/>
    <w:rsid w:val="00745730"/>
    <w:rsid w:val="00750EC7"/>
    <w:rsid w:val="0077133E"/>
    <w:rsid w:val="0077224D"/>
    <w:rsid w:val="00787544"/>
    <w:rsid w:val="00787938"/>
    <w:rsid w:val="00796AE1"/>
    <w:rsid w:val="007A3787"/>
    <w:rsid w:val="007B08AB"/>
    <w:rsid w:val="007B479F"/>
    <w:rsid w:val="007E209A"/>
    <w:rsid w:val="007E2F40"/>
    <w:rsid w:val="007F0DD7"/>
    <w:rsid w:val="008128BA"/>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730AC"/>
    <w:rsid w:val="00996F9B"/>
    <w:rsid w:val="009A5A4C"/>
    <w:rsid w:val="009B3E71"/>
    <w:rsid w:val="009C0491"/>
    <w:rsid w:val="009C7289"/>
    <w:rsid w:val="009E36EB"/>
    <w:rsid w:val="009E4B28"/>
    <w:rsid w:val="009F61B5"/>
    <w:rsid w:val="00A210BC"/>
    <w:rsid w:val="00A2734D"/>
    <w:rsid w:val="00A3083D"/>
    <w:rsid w:val="00A34BEF"/>
    <w:rsid w:val="00A35B2B"/>
    <w:rsid w:val="00A37CCA"/>
    <w:rsid w:val="00A659A8"/>
    <w:rsid w:val="00A72EB3"/>
    <w:rsid w:val="00A82709"/>
    <w:rsid w:val="00AA3EF6"/>
    <w:rsid w:val="00AC427C"/>
    <w:rsid w:val="00B05397"/>
    <w:rsid w:val="00B12B9B"/>
    <w:rsid w:val="00B13D0F"/>
    <w:rsid w:val="00B21367"/>
    <w:rsid w:val="00B2675E"/>
    <w:rsid w:val="00B326A9"/>
    <w:rsid w:val="00B37962"/>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0EBB"/>
    <w:rsid w:val="00C54201"/>
    <w:rsid w:val="00C80D2B"/>
    <w:rsid w:val="00C85E8A"/>
    <w:rsid w:val="00C948DB"/>
    <w:rsid w:val="00C975B6"/>
    <w:rsid w:val="00CA10C3"/>
    <w:rsid w:val="00CB0A27"/>
    <w:rsid w:val="00CC652F"/>
    <w:rsid w:val="00CD0E12"/>
    <w:rsid w:val="00CD1B91"/>
    <w:rsid w:val="00CE2D67"/>
    <w:rsid w:val="00CE7C48"/>
    <w:rsid w:val="00CF6269"/>
    <w:rsid w:val="00D1259B"/>
    <w:rsid w:val="00D1745C"/>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B3EC5"/>
    <w:rsid w:val="00ED28BC"/>
    <w:rsid w:val="00EF471C"/>
    <w:rsid w:val="00EF5E44"/>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9730AC"/>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77719822">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55465557">
      <w:bodyDiv w:val="1"/>
      <w:marLeft w:val="0"/>
      <w:marRight w:val="0"/>
      <w:marTop w:val="0"/>
      <w:marBottom w:val="0"/>
      <w:divBdr>
        <w:top w:val="none" w:sz="0" w:space="0" w:color="auto"/>
        <w:left w:val="none" w:sz="0" w:space="0" w:color="auto"/>
        <w:bottom w:val="none" w:sz="0" w:space="0" w:color="auto"/>
        <w:right w:val="none" w:sz="0" w:space="0" w:color="auto"/>
      </w:divBdr>
      <w:divsChild>
        <w:div w:id="360329444">
          <w:marLeft w:val="0"/>
          <w:marRight w:val="0"/>
          <w:marTop w:val="0"/>
          <w:marBottom w:val="0"/>
          <w:divBdr>
            <w:top w:val="none" w:sz="0" w:space="0" w:color="auto"/>
            <w:left w:val="none" w:sz="0" w:space="0" w:color="auto"/>
            <w:bottom w:val="none" w:sz="0" w:space="0" w:color="auto"/>
            <w:right w:val="none" w:sz="0" w:space="0" w:color="auto"/>
          </w:divBdr>
          <w:divsChild>
            <w:div w:id="1855878957">
              <w:marLeft w:val="0"/>
              <w:marRight w:val="0"/>
              <w:marTop w:val="0"/>
              <w:marBottom w:val="0"/>
              <w:divBdr>
                <w:top w:val="none" w:sz="0" w:space="0" w:color="auto"/>
                <w:left w:val="none" w:sz="0" w:space="0" w:color="auto"/>
                <w:bottom w:val="none" w:sz="0" w:space="0" w:color="auto"/>
                <w:right w:val="none" w:sz="0" w:space="0" w:color="auto"/>
              </w:divBdr>
              <w:divsChild>
                <w:div w:id="1668171313">
                  <w:marLeft w:val="0"/>
                  <w:marRight w:val="0"/>
                  <w:marTop w:val="0"/>
                  <w:marBottom w:val="0"/>
                  <w:divBdr>
                    <w:top w:val="none" w:sz="0" w:space="0" w:color="auto"/>
                    <w:left w:val="none" w:sz="0" w:space="0" w:color="auto"/>
                    <w:bottom w:val="none" w:sz="0" w:space="0" w:color="auto"/>
                    <w:right w:val="none" w:sz="0" w:space="0" w:color="auto"/>
                  </w:divBdr>
                  <w:divsChild>
                    <w:div w:id="131489618">
                      <w:marLeft w:val="0"/>
                      <w:marRight w:val="0"/>
                      <w:marTop w:val="0"/>
                      <w:marBottom w:val="0"/>
                      <w:divBdr>
                        <w:top w:val="none" w:sz="0" w:space="0" w:color="auto"/>
                        <w:left w:val="none" w:sz="0" w:space="0" w:color="auto"/>
                        <w:bottom w:val="none" w:sz="0" w:space="0" w:color="auto"/>
                        <w:right w:val="none" w:sz="0" w:space="0" w:color="auto"/>
                      </w:divBdr>
                      <w:divsChild>
                        <w:div w:id="11836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C56F9-9ED7-4946-8722-4E616A17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563</Words>
  <Characters>2923</Characters>
  <Application>Microsoft Office Word</Application>
  <DocSecurity>0</DocSecurity>
  <Lines>24</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3480</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3</cp:revision>
  <cp:lastPrinted>2018-08-02T07:02:00Z</cp:lastPrinted>
  <dcterms:created xsi:type="dcterms:W3CDTF">2020-05-22T11:48:00Z</dcterms:created>
  <dcterms:modified xsi:type="dcterms:W3CDTF">2020-05-22T11:51:00Z</dcterms:modified>
</cp:coreProperties>
</file>